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983" w:rsidRDefault="00AC5983" w:rsidP="00AC5983">
      <w:pPr>
        <w:jc w:val="center"/>
        <w:rPr>
          <w:b/>
          <w:sz w:val="40"/>
          <w:szCs w:val="40"/>
        </w:rPr>
      </w:pPr>
      <w:r>
        <w:rPr>
          <w:b/>
          <w:sz w:val="40"/>
          <w:szCs w:val="40"/>
        </w:rPr>
        <w:t>(</w:t>
      </w:r>
      <w:bookmarkStart w:id="0" w:name="_GoBack"/>
      <w:r>
        <w:rPr>
          <w:b/>
          <w:sz w:val="40"/>
          <w:szCs w:val="40"/>
        </w:rPr>
        <w:t>PCC Model Letter of A</w:t>
      </w:r>
      <w:r w:rsidRPr="005C1282">
        <w:rPr>
          <w:b/>
          <w:sz w:val="40"/>
          <w:szCs w:val="40"/>
        </w:rPr>
        <w:t>ppointment</w:t>
      </w:r>
      <w:bookmarkEnd w:id="0"/>
      <w:r>
        <w:rPr>
          <w:b/>
          <w:sz w:val="40"/>
          <w:szCs w:val="40"/>
        </w:rPr>
        <w:t>)</w:t>
      </w:r>
    </w:p>
    <w:p w:rsidR="00AC5983" w:rsidRDefault="00AC5983" w:rsidP="00AC5983">
      <w:pPr>
        <w:jc w:val="center"/>
        <w:rPr>
          <w:b/>
          <w:sz w:val="40"/>
          <w:szCs w:val="40"/>
        </w:rPr>
      </w:pPr>
    </w:p>
    <w:p w:rsidR="00AC5983" w:rsidRDefault="00AC5983" w:rsidP="00AC5983">
      <w:pPr>
        <w:jc w:val="center"/>
        <w:rPr>
          <w:b/>
          <w:szCs w:val="24"/>
        </w:rPr>
      </w:pPr>
    </w:p>
    <w:p w:rsidR="00AC5983" w:rsidRDefault="00AC5983" w:rsidP="00AC5983">
      <w:r>
        <w:t>Date: _______</w:t>
      </w:r>
      <w:proofErr w:type="gramStart"/>
      <w:r>
        <w:t>_  2012</w:t>
      </w:r>
      <w:proofErr w:type="gramEnd"/>
    </w:p>
    <w:p w:rsidR="00AC5983" w:rsidRDefault="00AC5983" w:rsidP="00AC5983">
      <w:pPr>
        <w:rPr>
          <w:b/>
          <w:szCs w:val="24"/>
        </w:rPr>
      </w:pPr>
    </w:p>
    <w:p w:rsidR="00AC5983" w:rsidRDefault="00AC5983" w:rsidP="00AC5983">
      <w:pPr>
        <w:jc w:val="center"/>
        <w:rPr>
          <w:b/>
          <w:szCs w:val="24"/>
        </w:rPr>
      </w:pPr>
    </w:p>
    <w:p w:rsidR="00AC5983" w:rsidRDefault="00AC5983" w:rsidP="00AC5983">
      <w:pPr>
        <w:jc w:val="center"/>
        <w:rPr>
          <w:b/>
          <w:szCs w:val="24"/>
        </w:rPr>
      </w:pPr>
    </w:p>
    <w:p w:rsidR="00AC5983" w:rsidRDefault="00AC5983" w:rsidP="00AC5983">
      <w:pPr>
        <w:pStyle w:val="Header"/>
      </w:pPr>
      <w:r>
        <w:t>(Parish Contact and Address details)</w:t>
      </w:r>
    </w:p>
    <w:p w:rsidR="00AC5983" w:rsidRDefault="00AC5983" w:rsidP="00AC5983">
      <w:pPr>
        <w:jc w:val="both"/>
        <w:rPr>
          <w:b/>
          <w:szCs w:val="24"/>
        </w:rPr>
      </w:pPr>
    </w:p>
    <w:p w:rsidR="00AC5983" w:rsidRDefault="00AC5983" w:rsidP="00AC5983">
      <w:pPr>
        <w:jc w:val="both"/>
        <w:rPr>
          <w:b/>
          <w:szCs w:val="24"/>
        </w:rPr>
      </w:pPr>
    </w:p>
    <w:p w:rsidR="00AC5983" w:rsidRPr="00EF62C2" w:rsidRDefault="00AC5983" w:rsidP="00AC5983">
      <w:pPr>
        <w:jc w:val="both"/>
        <w:rPr>
          <w:szCs w:val="24"/>
        </w:rPr>
      </w:pPr>
      <w:r w:rsidRPr="00EF62C2">
        <w:rPr>
          <w:szCs w:val="24"/>
        </w:rPr>
        <w:t>Mr Julian Hills</w:t>
      </w:r>
    </w:p>
    <w:p w:rsidR="00AC5983" w:rsidRPr="00EF62C2" w:rsidRDefault="00AC5983" w:rsidP="00AC5983">
      <w:pPr>
        <w:jc w:val="both"/>
        <w:rPr>
          <w:szCs w:val="24"/>
        </w:rPr>
      </w:pPr>
      <w:r w:rsidRPr="00EF62C2">
        <w:rPr>
          <w:szCs w:val="24"/>
        </w:rPr>
        <w:t>Diocesan Secretary</w:t>
      </w:r>
    </w:p>
    <w:p w:rsidR="00AC5983" w:rsidRPr="00EF62C2" w:rsidRDefault="00AC5983" w:rsidP="00AC5983">
      <w:pPr>
        <w:jc w:val="both"/>
        <w:rPr>
          <w:szCs w:val="24"/>
        </w:rPr>
      </w:pPr>
      <w:r w:rsidRPr="00EF62C2">
        <w:rPr>
          <w:szCs w:val="24"/>
        </w:rPr>
        <w:t>Lady Wootton’s Green</w:t>
      </w:r>
    </w:p>
    <w:p w:rsidR="00AC5983" w:rsidRPr="00EF62C2" w:rsidRDefault="00AC5983" w:rsidP="00AC5983">
      <w:pPr>
        <w:jc w:val="both"/>
        <w:rPr>
          <w:szCs w:val="24"/>
        </w:rPr>
      </w:pPr>
      <w:r w:rsidRPr="00EF62C2">
        <w:rPr>
          <w:szCs w:val="24"/>
        </w:rPr>
        <w:t>Canterbury</w:t>
      </w:r>
    </w:p>
    <w:p w:rsidR="00AC5983" w:rsidRPr="00EF62C2" w:rsidRDefault="00AC5983" w:rsidP="00AC5983">
      <w:pPr>
        <w:jc w:val="both"/>
        <w:rPr>
          <w:szCs w:val="24"/>
        </w:rPr>
      </w:pPr>
      <w:r w:rsidRPr="00EF62C2">
        <w:rPr>
          <w:szCs w:val="24"/>
        </w:rPr>
        <w:t>Kent   CT1 1NQ</w:t>
      </w:r>
    </w:p>
    <w:p w:rsidR="00AC5983" w:rsidRPr="00EF62C2" w:rsidRDefault="00AC5983" w:rsidP="00AC5983">
      <w:pPr>
        <w:jc w:val="both"/>
        <w:rPr>
          <w:szCs w:val="24"/>
        </w:rPr>
      </w:pPr>
    </w:p>
    <w:p w:rsidR="00AC5983" w:rsidRPr="00EF62C2" w:rsidRDefault="00AC5983" w:rsidP="00AC5983">
      <w:pPr>
        <w:jc w:val="both"/>
        <w:rPr>
          <w:szCs w:val="24"/>
        </w:rPr>
      </w:pPr>
    </w:p>
    <w:p w:rsidR="00AC5983" w:rsidRPr="00EF62C2" w:rsidRDefault="00AC5983" w:rsidP="00AC5983">
      <w:pPr>
        <w:jc w:val="both"/>
        <w:rPr>
          <w:szCs w:val="24"/>
        </w:rPr>
      </w:pPr>
      <w:r w:rsidRPr="00EF62C2">
        <w:rPr>
          <w:szCs w:val="24"/>
        </w:rPr>
        <w:t>Dear Julian</w:t>
      </w:r>
    </w:p>
    <w:p w:rsidR="00AC5983" w:rsidRPr="00EF62C2" w:rsidRDefault="00AC5983" w:rsidP="00AC5983">
      <w:pPr>
        <w:jc w:val="both"/>
        <w:rPr>
          <w:szCs w:val="24"/>
        </w:rPr>
      </w:pPr>
    </w:p>
    <w:p w:rsidR="00AC5983" w:rsidRDefault="00AC5983" w:rsidP="00AC5983">
      <w:pPr>
        <w:jc w:val="both"/>
        <w:rPr>
          <w:szCs w:val="24"/>
        </w:rPr>
      </w:pPr>
      <w:r w:rsidRPr="00EF62C2">
        <w:rPr>
          <w:szCs w:val="24"/>
        </w:rPr>
        <w:t>The PCC of _____________________________ have considered the possibility that there may be overriding responsibilities attaching to certain church lands which may give rise to chancel repair liability for the church of (name) _________</w:t>
      </w:r>
      <w:r>
        <w:rPr>
          <w:szCs w:val="24"/>
        </w:rPr>
        <w:t>___</w:t>
      </w:r>
      <w:r w:rsidRPr="00EF62C2">
        <w:rPr>
          <w:szCs w:val="24"/>
        </w:rPr>
        <w:t>______________________</w:t>
      </w:r>
      <w:r>
        <w:rPr>
          <w:szCs w:val="24"/>
        </w:rPr>
        <w:t>.  The PCC hereby requests that the diocese appoints Mr Duncan Harrington to research these potential rights on our behalf.  In so doing we give approval for Mr Harrington to have access to such parish archive material as may assist his research.</w:t>
      </w:r>
    </w:p>
    <w:p w:rsidR="00AC5983" w:rsidRDefault="00AC5983" w:rsidP="00AC5983">
      <w:pPr>
        <w:jc w:val="both"/>
        <w:rPr>
          <w:szCs w:val="24"/>
        </w:rPr>
      </w:pPr>
    </w:p>
    <w:p w:rsidR="00AC5983" w:rsidRDefault="00AC5983" w:rsidP="00AC5983">
      <w:pPr>
        <w:jc w:val="both"/>
        <w:rPr>
          <w:szCs w:val="24"/>
        </w:rPr>
      </w:pPr>
      <w:r>
        <w:rPr>
          <w:szCs w:val="24"/>
        </w:rPr>
        <w:t xml:space="preserve">We accept that it is our responsibility to register any such overriding responsibilities with The Land Registry by the ______ October 2013 and we will bear the costs of that registration.  We understand that the diocese will meet the cost of Mr Harrington’s initial research.  We further understand that the PCC will bear the cost of any legal proceedings arising out of the registration of these responsibilities, especially, but not limited to, those cases where lay </w:t>
      </w:r>
      <w:proofErr w:type="spellStart"/>
      <w:r>
        <w:rPr>
          <w:szCs w:val="24"/>
        </w:rPr>
        <w:t>rectorship</w:t>
      </w:r>
      <w:proofErr w:type="spellEnd"/>
      <w:r>
        <w:rPr>
          <w:szCs w:val="24"/>
        </w:rPr>
        <w:t xml:space="preserve"> responsibilities are disputed.</w:t>
      </w:r>
    </w:p>
    <w:p w:rsidR="00AC5983" w:rsidRDefault="00AC5983" w:rsidP="00AC5983">
      <w:pPr>
        <w:jc w:val="both"/>
        <w:rPr>
          <w:szCs w:val="24"/>
        </w:rPr>
      </w:pPr>
    </w:p>
    <w:p w:rsidR="00AC5983" w:rsidRDefault="00AC5983" w:rsidP="00AC5983">
      <w:pPr>
        <w:jc w:val="both"/>
        <w:rPr>
          <w:szCs w:val="24"/>
        </w:rPr>
      </w:pPr>
      <w:r>
        <w:rPr>
          <w:szCs w:val="24"/>
        </w:rPr>
        <w:t>Yours sincerely</w:t>
      </w:r>
    </w:p>
    <w:p w:rsidR="00AC5983" w:rsidRDefault="00AC5983" w:rsidP="00AC5983">
      <w:pPr>
        <w:jc w:val="both"/>
        <w:rPr>
          <w:szCs w:val="24"/>
        </w:rPr>
      </w:pPr>
    </w:p>
    <w:p w:rsidR="00AC5983" w:rsidRDefault="00AC5983" w:rsidP="00AC5983">
      <w:pPr>
        <w:jc w:val="both"/>
        <w:rPr>
          <w:szCs w:val="24"/>
        </w:rPr>
      </w:pPr>
    </w:p>
    <w:p w:rsidR="00AC5983" w:rsidRDefault="00AC5983" w:rsidP="00AC5983">
      <w:pPr>
        <w:jc w:val="both"/>
        <w:rPr>
          <w:szCs w:val="24"/>
        </w:rPr>
      </w:pPr>
    </w:p>
    <w:p w:rsidR="00AC5983" w:rsidRDefault="00AC5983" w:rsidP="00AC5983">
      <w:pPr>
        <w:jc w:val="both"/>
        <w:rPr>
          <w:szCs w:val="24"/>
        </w:rPr>
      </w:pPr>
    </w:p>
    <w:p w:rsidR="00AC5983" w:rsidRDefault="00AC5983" w:rsidP="00AC5983">
      <w:pPr>
        <w:jc w:val="both"/>
        <w:rPr>
          <w:szCs w:val="24"/>
        </w:rPr>
      </w:pPr>
    </w:p>
    <w:p w:rsidR="00AC5983" w:rsidRPr="00EF62C2" w:rsidRDefault="00AC5983" w:rsidP="00AC5983">
      <w:pPr>
        <w:jc w:val="both"/>
        <w:rPr>
          <w:szCs w:val="24"/>
        </w:rPr>
      </w:pPr>
      <w:r>
        <w:rPr>
          <w:szCs w:val="24"/>
        </w:rPr>
        <w:t>_________________________</w:t>
      </w:r>
    </w:p>
    <w:p w:rsidR="00AC5983" w:rsidRDefault="00AC5983" w:rsidP="00AC5983">
      <w:pPr>
        <w:jc w:val="both"/>
        <w:rPr>
          <w:szCs w:val="24"/>
        </w:rPr>
      </w:pPr>
      <w:r>
        <w:rPr>
          <w:szCs w:val="24"/>
        </w:rPr>
        <w:t>(Name)</w:t>
      </w:r>
    </w:p>
    <w:p w:rsidR="00AC5983" w:rsidRPr="00EF62C2" w:rsidRDefault="00AC5983" w:rsidP="00AC5983">
      <w:pPr>
        <w:jc w:val="both"/>
        <w:rPr>
          <w:szCs w:val="24"/>
        </w:rPr>
      </w:pPr>
      <w:r>
        <w:rPr>
          <w:szCs w:val="24"/>
        </w:rPr>
        <w:t>(Position held)</w:t>
      </w:r>
    </w:p>
    <w:p w:rsidR="00AC5983" w:rsidRPr="005C1282" w:rsidRDefault="00AC5983" w:rsidP="00AC5983">
      <w:pPr>
        <w:rPr>
          <w:b/>
          <w:sz w:val="40"/>
          <w:szCs w:val="40"/>
        </w:rPr>
      </w:pPr>
    </w:p>
    <w:p w:rsidR="00AC5983" w:rsidRDefault="00AC5983" w:rsidP="00846443">
      <w:pPr>
        <w:jc w:val="both"/>
      </w:pPr>
    </w:p>
    <w:p w:rsidR="009E3A3C" w:rsidRDefault="009E3A3C" w:rsidP="00846443">
      <w:pPr>
        <w:jc w:val="both"/>
      </w:pPr>
    </w:p>
    <w:p w:rsidR="009E3A3C" w:rsidRDefault="009E3A3C" w:rsidP="00846443">
      <w:pPr>
        <w:jc w:val="both"/>
      </w:pPr>
    </w:p>
    <w:p w:rsidR="009E3A3C" w:rsidRDefault="009E3A3C" w:rsidP="00846443">
      <w:pPr>
        <w:jc w:val="both"/>
      </w:pPr>
    </w:p>
    <w:p w:rsidR="009E3A3C" w:rsidRDefault="009E3A3C" w:rsidP="00846443">
      <w:pPr>
        <w:jc w:val="both"/>
      </w:pPr>
    </w:p>
    <w:p w:rsidR="009E3A3C" w:rsidRDefault="009E3A3C" w:rsidP="009E3A3C">
      <w:pPr>
        <w:ind w:hanging="426"/>
        <w:jc w:val="center"/>
        <w:rPr>
          <w:b/>
          <w:szCs w:val="24"/>
        </w:rPr>
      </w:pPr>
      <w:r>
        <w:rPr>
          <w:b/>
          <w:noProof/>
          <w:szCs w:val="24"/>
          <w:lang w:eastAsia="en-GB"/>
        </w:rPr>
        <w:lastRenderedPageBreak/>
        <mc:AlternateContent>
          <mc:Choice Requires="wps">
            <w:drawing>
              <wp:anchor distT="0" distB="0" distL="114300" distR="114300" simplePos="0" relativeHeight="251661312" behindDoc="0" locked="0" layoutInCell="1" allowOverlap="1">
                <wp:simplePos x="0" y="0"/>
                <wp:positionH relativeFrom="column">
                  <wp:posOffset>-285750</wp:posOffset>
                </wp:positionH>
                <wp:positionV relativeFrom="paragraph">
                  <wp:posOffset>1259840</wp:posOffset>
                </wp:positionV>
                <wp:extent cx="6128385" cy="32448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385"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1205" w:rsidRPr="00674326" w:rsidRDefault="00DF1205" w:rsidP="009E3A3C">
                            <w:pPr>
                              <w:rPr>
                                <w:b/>
                                <w:i/>
                                <w:color w:val="0070C0"/>
                                <w:sz w:val="28"/>
                              </w:rPr>
                            </w:pPr>
                            <w:r w:rsidRPr="00674326">
                              <w:rPr>
                                <w:b/>
                                <w:i/>
                                <w:color w:val="0070C0"/>
                                <w:sz w:val="28"/>
                              </w:rPr>
                              <w:t>Living faith, building community, transforming lives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2.5pt;margin-top:99.2pt;width:482.55pt;height:2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uentAIAALk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" filled="f" stroked="f">
                <v:textbox>
                  <w:txbxContent>
                    <w:p w:rsidR="00DF1205" w:rsidRPr="00674326" w:rsidRDefault="00DF1205" w:rsidP="009E3A3C">
                      <w:pPr>
                        <w:rPr>
                          <w:b/>
                          <w:i/>
                          <w:color w:val="0070C0"/>
                          <w:sz w:val="28"/>
                        </w:rPr>
                      </w:pPr>
                      <w:r w:rsidRPr="00674326">
                        <w:rPr>
                          <w:b/>
                          <w:i/>
                          <w:color w:val="0070C0"/>
                          <w:sz w:val="28"/>
                        </w:rPr>
                        <w:t>Living faith, building community, transforming lives</w:t>
                      </w:r>
                    </w:p>
                  </w:txbxContent>
                </v:textbox>
              </v:shape>
            </w:pict>
          </mc:Fallback>
        </mc:AlternateContent>
      </w:r>
      <w:r>
        <w:rPr>
          <w:noProof/>
          <w:lang w:eastAsia="en-GB"/>
        </w:rPr>
        <w:drawing>
          <wp:inline distT="0" distB="0" distL="0" distR="0">
            <wp:extent cx="6124575" cy="1562100"/>
            <wp:effectExtent l="0" t="0" r="9525" b="0"/>
            <wp:docPr id="5" name="Picture 5" descr="Description: C:\Users\Victoria Greatorex\Desktop\Logo new Modern Diocese of Canterbu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Victoria Greatorex\Desktop\Logo new Modern Diocese of Canterbur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4575" cy="1562100"/>
                    </a:xfrm>
                    <a:prstGeom prst="rect">
                      <a:avLst/>
                    </a:prstGeom>
                    <a:noFill/>
                    <a:ln>
                      <a:noFill/>
                    </a:ln>
                  </pic:spPr>
                </pic:pic>
              </a:graphicData>
            </a:graphic>
          </wp:inline>
        </w:drawing>
      </w:r>
    </w:p>
    <w:p w:rsidR="009E3A3C" w:rsidRDefault="009E3A3C" w:rsidP="009E3A3C">
      <w:pPr>
        <w:jc w:val="center"/>
        <w:rPr>
          <w:b/>
          <w:szCs w:val="24"/>
        </w:rPr>
      </w:pPr>
    </w:p>
    <w:p w:rsidR="009E3A3C" w:rsidRDefault="009E3A3C" w:rsidP="009E3A3C">
      <w:pPr>
        <w:jc w:val="center"/>
        <w:rPr>
          <w:b/>
          <w:szCs w:val="24"/>
        </w:rPr>
      </w:pPr>
    </w:p>
    <w:p w:rsidR="009E3A3C" w:rsidRPr="009E3A3C" w:rsidRDefault="009E3A3C" w:rsidP="009E3A3C">
      <w:pPr>
        <w:jc w:val="center"/>
        <w:rPr>
          <w:rFonts w:ascii="Verdana" w:hAnsi="Verdana"/>
          <w:b/>
          <w:sz w:val="28"/>
          <w:szCs w:val="28"/>
          <w:u w:val="single"/>
        </w:rPr>
      </w:pPr>
      <w:r w:rsidRPr="009E3A3C">
        <w:rPr>
          <w:rFonts w:ascii="Verdana" w:hAnsi="Verdana"/>
          <w:b/>
          <w:sz w:val="28"/>
          <w:szCs w:val="28"/>
          <w:u w:val="single"/>
        </w:rPr>
        <w:t>Parochial Church Councils and Chancel Repair Liability</w:t>
      </w:r>
    </w:p>
    <w:p w:rsidR="009E3A3C" w:rsidRPr="009E3A3C" w:rsidRDefault="009E3A3C" w:rsidP="009E3A3C">
      <w:pPr>
        <w:jc w:val="center"/>
        <w:rPr>
          <w:rFonts w:ascii="Verdana" w:hAnsi="Verdana"/>
          <w:b/>
          <w:szCs w:val="24"/>
        </w:rPr>
      </w:pPr>
      <w:r w:rsidRPr="009E3A3C">
        <w:rPr>
          <w:rFonts w:ascii="Verdana" w:hAnsi="Verdana"/>
          <w:b/>
          <w:szCs w:val="24"/>
        </w:rPr>
        <w:t>Advice from the Charity Commission</w:t>
      </w:r>
    </w:p>
    <w:p w:rsidR="009E3A3C" w:rsidRDefault="009E3A3C" w:rsidP="009E3A3C">
      <w:pPr>
        <w:jc w:val="center"/>
        <w:rPr>
          <w:b/>
          <w:szCs w:val="24"/>
        </w:rPr>
      </w:pPr>
    </w:p>
    <w:p w:rsidR="009E3A3C" w:rsidRDefault="009E3A3C" w:rsidP="009E3A3C">
      <w:pPr>
        <w:pStyle w:val="CMCarticletext"/>
      </w:pPr>
      <w:r>
        <w:t>The Commission concedes that it is not expert in this area of the law and refers PCCs to the opinion of the Legal Advisory Commission of the General Synod for further information.  The Commission does, however, set out a useful framework for trustee decision-making which, in the Commission’s opinion, should help PCC members to act in accordance with their legal duties. Under the Commission’s framework PCC members must:</w:t>
      </w:r>
    </w:p>
    <w:p w:rsidR="009E3A3C" w:rsidRDefault="009E3A3C" w:rsidP="009E3A3C">
      <w:pPr>
        <w:pStyle w:val="CMCarticletext"/>
        <w:numPr>
          <w:ilvl w:val="0"/>
          <w:numId w:val="1"/>
        </w:numPr>
        <w:spacing w:after="100"/>
        <w:ind w:hanging="357"/>
      </w:pPr>
      <w:r>
        <w:rPr>
          <w:bCs/>
          <w:i/>
        </w:rPr>
        <w:t>act within their powers</w:t>
      </w:r>
      <w:r>
        <w:t>, which means:</w:t>
      </w:r>
    </w:p>
    <w:p w:rsidR="009E3A3C" w:rsidRDefault="009E3A3C" w:rsidP="009E3A3C">
      <w:pPr>
        <w:pStyle w:val="CMCarticletext"/>
        <w:numPr>
          <w:ilvl w:val="1"/>
          <w:numId w:val="1"/>
        </w:numPr>
        <w:spacing w:after="100"/>
        <w:ind w:hanging="357"/>
      </w:pPr>
      <w:r>
        <w:rPr>
          <w:i/>
        </w:rPr>
        <w:t>only making decisions which </w:t>
      </w:r>
      <w:r>
        <w:rPr>
          <w:bCs/>
          <w:i/>
        </w:rPr>
        <w:t>advance</w:t>
      </w:r>
      <w:r>
        <w:rPr>
          <w:i/>
        </w:rPr>
        <w:t>, or support activities that advance,</w:t>
      </w:r>
      <w:r>
        <w:rPr>
          <w:bCs/>
          <w:i/>
        </w:rPr>
        <w:t> their charity’s purpose</w:t>
      </w:r>
      <w:r>
        <w:rPr>
          <w:i/>
        </w:rPr>
        <w:t> for the public benefit</w:t>
      </w:r>
      <w:r>
        <w:t>;</w:t>
      </w:r>
    </w:p>
    <w:p w:rsidR="009E3A3C" w:rsidRDefault="009E3A3C" w:rsidP="009E3A3C">
      <w:pPr>
        <w:pStyle w:val="CMCarticletext"/>
        <w:numPr>
          <w:ilvl w:val="1"/>
          <w:numId w:val="1"/>
        </w:numPr>
        <w:spacing w:after="100"/>
        <w:ind w:hanging="357"/>
      </w:pPr>
      <w:r>
        <w:rPr>
          <w:bCs/>
          <w:i/>
        </w:rPr>
        <w:t>using the correct procedures</w:t>
      </w:r>
      <w:r>
        <w:t>, which may be those set out:</w:t>
      </w:r>
    </w:p>
    <w:p w:rsidR="009E3A3C" w:rsidRDefault="009E3A3C" w:rsidP="009E3A3C">
      <w:pPr>
        <w:pStyle w:val="CMCarticletext"/>
        <w:numPr>
          <w:ilvl w:val="2"/>
          <w:numId w:val="1"/>
        </w:numPr>
        <w:spacing w:after="100"/>
        <w:ind w:hanging="357"/>
      </w:pPr>
      <w:r>
        <w:t>under the general law</w:t>
      </w:r>
    </w:p>
    <w:p w:rsidR="009E3A3C" w:rsidRDefault="009E3A3C" w:rsidP="009E3A3C">
      <w:pPr>
        <w:pStyle w:val="CMCarticletext"/>
        <w:numPr>
          <w:ilvl w:val="2"/>
          <w:numId w:val="1"/>
        </w:numPr>
        <w:spacing w:after="100"/>
        <w:ind w:hanging="357"/>
      </w:pPr>
      <w:r>
        <w:t>specifically in the charity’s governing document</w:t>
      </w:r>
    </w:p>
    <w:p w:rsidR="009E3A3C" w:rsidRDefault="009E3A3C" w:rsidP="009E3A3C">
      <w:pPr>
        <w:pStyle w:val="CMCarticletext"/>
        <w:numPr>
          <w:ilvl w:val="2"/>
          <w:numId w:val="1"/>
        </w:numPr>
        <w:spacing w:after="100"/>
        <w:ind w:hanging="357"/>
      </w:pPr>
      <w:r>
        <w:t>under the established rules and procedures for dealing with issues of the kind under consideration;</w:t>
      </w:r>
    </w:p>
    <w:p w:rsidR="009E3A3C" w:rsidRDefault="009E3A3C" w:rsidP="009E3A3C">
      <w:pPr>
        <w:pStyle w:val="CMCarticletext"/>
        <w:numPr>
          <w:ilvl w:val="0"/>
          <w:numId w:val="1"/>
        </w:numPr>
        <w:spacing w:after="100"/>
        <w:ind w:hanging="357"/>
      </w:pPr>
      <w:r>
        <w:rPr>
          <w:bCs/>
          <w:i/>
        </w:rPr>
        <w:t>act in good faith and only in the interests of the charity</w:t>
      </w:r>
      <w:r>
        <w:t>;</w:t>
      </w:r>
    </w:p>
    <w:p w:rsidR="009E3A3C" w:rsidRDefault="009E3A3C" w:rsidP="009E3A3C">
      <w:pPr>
        <w:pStyle w:val="CMCarticletext"/>
        <w:numPr>
          <w:ilvl w:val="0"/>
          <w:numId w:val="1"/>
        </w:numPr>
        <w:spacing w:after="100"/>
        <w:ind w:hanging="357"/>
      </w:pPr>
      <w:r>
        <w:rPr>
          <w:bCs/>
          <w:i/>
        </w:rPr>
        <w:t>adequately inform themselves</w:t>
      </w:r>
      <w:r>
        <w:t>;</w:t>
      </w:r>
    </w:p>
    <w:p w:rsidR="009E3A3C" w:rsidRDefault="009E3A3C" w:rsidP="009E3A3C">
      <w:pPr>
        <w:pStyle w:val="CMCarticletext"/>
        <w:numPr>
          <w:ilvl w:val="0"/>
          <w:numId w:val="1"/>
        </w:numPr>
        <w:spacing w:after="100"/>
        <w:ind w:hanging="357"/>
      </w:pPr>
      <w:r>
        <w:rPr>
          <w:bCs/>
          <w:i/>
        </w:rPr>
        <w:t>take into account all relevant factors</w:t>
      </w:r>
      <w:r>
        <w:rPr>
          <w:bCs/>
        </w:rPr>
        <w:t> </w:t>
      </w:r>
      <w:r>
        <w:t>(their ‘duty of consideration’) and</w:t>
      </w:r>
    </w:p>
    <w:p w:rsidR="009E3A3C" w:rsidRDefault="009E3A3C" w:rsidP="009E3A3C">
      <w:pPr>
        <w:pStyle w:val="CMCarticletext"/>
        <w:numPr>
          <w:ilvl w:val="0"/>
          <w:numId w:val="1"/>
        </w:numPr>
        <w:spacing w:after="100"/>
        <w:ind w:hanging="357"/>
      </w:pPr>
      <w:r>
        <w:rPr>
          <w:bCs/>
          <w:i/>
        </w:rPr>
        <w:t>disregard any irrelevant factors</w:t>
      </w:r>
      <w:r>
        <w:t>;</w:t>
      </w:r>
    </w:p>
    <w:p w:rsidR="009E3A3C" w:rsidRDefault="009E3A3C" w:rsidP="009E3A3C">
      <w:pPr>
        <w:pStyle w:val="CMCarticletext"/>
        <w:numPr>
          <w:ilvl w:val="0"/>
          <w:numId w:val="1"/>
        </w:numPr>
        <w:spacing w:after="100"/>
        <w:ind w:hanging="357"/>
      </w:pPr>
      <w:r>
        <w:rPr>
          <w:bCs/>
          <w:i/>
        </w:rPr>
        <w:t>make decisions that are</w:t>
      </w:r>
      <w:r>
        <w:rPr>
          <w:i/>
        </w:rPr>
        <w:t> </w:t>
      </w:r>
      <w:r>
        <w:rPr>
          <w:bCs/>
          <w:i/>
        </w:rPr>
        <w:t>within the range of decisions that a reasonable trustee body would make</w:t>
      </w:r>
      <w:r>
        <w:t>; and</w:t>
      </w:r>
    </w:p>
    <w:p w:rsidR="009E3A3C" w:rsidRDefault="009E3A3C" w:rsidP="009E3A3C">
      <w:pPr>
        <w:pStyle w:val="CMCarticletext"/>
        <w:numPr>
          <w:ilvl w:val="0"/>
          <w:numId w:val="1"/>
        </w:numPr>
        <w:ind w:hanging="357"/>
      </w:pPr>
      <w:proofErr w:type="gramStart"/>
      <w:r>
        <w:rPr>
          <w:bCs/>
          <w:i/>
        </w:rPr>
        <w:t>avoid</w:t>
      </w:r>
      <w:proofErr w:type="gramEnd"/>
      <w:r>
        <w:rPr>
          <w:bCs/>
          <w:i/>
        </w:rPr>
        <w:t xml:space="preserve"> conflicts of interest</w:t>
      </w:r>
      <w:r>
        <w:t> (</w:t>
      </w:r>
      <w:proofErr w:type="spellStart"/>
      <w:r>
        <w:t>eg</w:t>
      </w:r>
      <w:proofErr w:type="spellEnd"/>
      <w:r>
        <w:t xml:space="preserve"> where members of a PCC </w:t>
      </w:r>
      <w:r>
        <w:rPr>
          <w:i/>
          <w:iCs/>
        </w:rPr>
        <w:t>themselves</w:t>
      </w:r>
      <w:r>
        <w:t> live in properties which are subject to chancel repair liability).</w:t>
      </w:r>
    </w:p>
    <w:p w:rsidR="009E3A3C" w:rsidRDefault="009E3A3C" w:rsidP="009E3A3C">
      <w:pPr>
        <w:pStyle w:val="CMCarticletext"/>
      </w:pPr>
      <w:r>
        <w:t>The Commission concludes by pointing out that the decision about whether or not to register and enforce chancel repair liability is ultimately a matter for the trustees of the PCC in question and that PCCs are able to take that decision without involving the Commission. </w:t>
      </w:r>
      <w:r>
        <w:rPr>
          <w:i/>
        </w:rPr>
        <w:t>However</w:t>
      </w:r>
      <w:r>
        <w:t>, the Commission is prepared to offer advice to individual PCCs </w:t>
      </w:r>
      <w:hyperlink r:id="rId7" w:tgtFrame="_blank" w:history="1">
        <w:r>
          <w:rPr>
            <w:rStyle w:val="Hyperlink"/>
            <w:bCs/>
          </w:rPr>
          <w:t>under s 110 of the Charities Act 2011</w:t>
        </w:r>
      </w:hyperlink>
      <w:r>
        <w:t> and suggests that that may provide additional reassurance for PCC members that they have acted correctly and in accordance with their duties by protecting them against the possibility of any subsequent legal challenge to their decis</w:t>
      </w:r>
      <w:r>
        <w:rPr>
          <w:rFonts w:ascii="Times New Roman" w:hAnsi="Times New Roman" w:cs="Times New Roman"/>
          <w:noProof/>
          <w:sz w:val="20"/>
          <w:u w:val="single"/>
          <w:lang w:eastAsia="en-GB"/>
        </w:rPr>
        <mc:AlternateContent>
          <mc:Choice Requires="wps">
            <w:drawing>
              <wp:anchor distT="0" distB="0" distL="114300" distR="114300" simplePos="0" relativeHeight="251662336" behindDoc="0" locked="0" layoutInCell="1" allowOverlap="1">
                <wp:simplePos x="0" y="0"/>
                <wp:positionH relativeFrom="column">
                  <wp:posOffset>-285750</wp:posOffset>
                </wp:positionH>
                <wp:positionV relativeFrom="paragraph">
                  <wp:posOffset>18415</wp:posOffset>
                </wp:positionV>
                <wp:extent cx="6065520" cy="4181475"/>
                <wp:effectExtent l="0" t="0" r="0" b="3810"/>
                <wp:wrapNone/>
                <wp:docPr id="7" name="Beve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5520" cy="4181475"/>
                        </a:xfrm>
                        <a:prstGeom prst="bevel">
                          <a:avLst>
                            <a:gd name="adj" fmla="val 12500"/>
                          </a:avLst>
                        </a:prstGeom>
                        <a:noFill/>
                        <a:ln>
                          <a:noFill/>
                        </a:ln>
                        <a:extLst>
                          <a:ext uri="{909E8E84-426E-40DD-AFC4-6F175D3DCCD1}">
                            <a14:hiddenFill xmlns:a14="http://schemas.microsoft.com/office/drawing/2010/main">
                              <a:solidFill>
                                <a:srgbClr val="E5DFEC"/>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1205" w:rsidRPr="00170A58" w:rsidRDefault="00DF1205" w:rsidP="009E3A3C">
                            <w:pPr>
                              <w:rPr>
                                <w:b/>
                                <w:i/>
                                <w:color w:val="5F497A"/>
                                <w:sz w:val="44"/>
                                <w:szCs w:val="44"/>
                              </w:rPr>
                            </w:pPr>
                            <w:r>
                              <w:rPr>
                                <w:b/>
                                <w:szCs w:val="24"/>
                              </w:rPr>
                              <w:t xml:space="preserve">                                                                                               </w:t>
                            </w:r>
                          </w:p>
                          <w:p w:rsidR="00DF1205" w:rsidRDefault="00DF1205" w:rsidP="009E3A3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7" o:spid="_x0000_s1027" type="#_x0000_t84" style="position:absolute;left:0;text-align:left;margin-left:-22.5pt;margin-top:1.45pt;width:477.6pt;height:3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" filled="f" fillcolor="#e5dfec" stroked="f">
                <v:textbox>
                  <w:txbxContent>
                    <w:p w:rsidR="00DF1205" w:rsidRPr="00170A58" w:rsidRDefault="00DF1205" w:rsidP="009E3A3C">
                      <w:pPr>
                        <w:rPr>
                          <w:b/>
                          <w:i/>
                          <w:color w:val="5F497A"/>
                          <w:sz w:val="44"/>
                          <w:szCs w:val="44"/>
                        </w:rPr>
                      </w:pPr>
                      <w:r>
                        <w:rPr>
                          <w:b/>
                          <w:szCs w:val="24"/>
                        </w:rPr>
                        <w:t xml:space="preserve">                                                                                               </w:t>
                      </w:r>
                    </w:p>
                    <w:p w:rsidR="00DF1205" w:rsidRDefault="00DF1205" w:rsidP="009E3A3C"/>
                  </w:txbxContent>
                </v:textbox>
              </v:shape>
            </w:pict>
          </mc:Fallback>
        </mc:AlternateContent>
      </w:r>
      <w:r>
        <w:rPr>
          <w:noProof/>
          <w:sz w:val="24"/>
          <w:szCs w:val="24"/>
          <w:lang w:eastAsia="en-GB"/>
        </w:rPr>
        <mc:AlternateContent>
          <mc:Choice Requires="wps">
            <w:drawing>
              <wp:anchor distT="0" distB="0" distL="114300" distR="114300" simplePos="0" relativeHeight="251663360" behindDoc="0" locked="0" layoutInCell="1" allowOverlap="1">
                <wp:simplePos x="0" y="0"/>
                <wp:positionH relativeFrom="column">
                  <wp:posOffset>489585</wp:posOffset>
                </wp:positionH>
                <wp:positionV relativeFrom="paragraph">
                  <wp:posOffset>392430</wp:posOffset>
                </wp:positionV>
                <wp:extent cx="3876675" cy="371475"/>
                <wp:effectExtent l="635" t="0" r="0"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1205" w:rsidRPr="00B53521" w:rsidRDefault="00DF1205" w:rsidP="009E3A3C">
                            <w:pPr>
                              <w:rPr>
                                <w: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8.55pt;margin-top:30.9pt;width:305.2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" filled="f" stroked="f">
                <v:textbox>
                  <w:txbxContent>
                    <w:p w:rsidR="00DF1205" w:rsidRPr="00B53521" w:rsidRDefault="00DF1205" w:rsidP="009E3A3C">
                      <w:pPr>
                        <w:rPr>
                          <w:i/>
                          <w:sz w:val="28"/>
                          <w:szCs w:val="28"/>
                        </w:rPr>
                      </w:pPr>
                    </w:p>
                  </w:txbxContent>
                </v:textbox>
              </v:shape>
            </w:pict>
          </mc:Fallback>
        </mc:AlternateContent>
      </w:r>
      <w:r>
        <w:t>ion.</w:t>
      </w:r>
    </w:p>
    <w:sectPr w:rsidR="009E3A3C" w:rsidSect="004A27E2">
      <w:pgSz w:w="11906" w:h="16838"/>
      <w:pgMar w:top="130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BB235A"/>
    <w:multiLevelType w:val="multilevel"/>
    <w:tmpl w:val="FE464E6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98A"/>
    <w:rsid w:val="000E498A"/>
    <w:rsid w:val="00103588"/>
    <w:rsid w:val="00196831"/>
    <w:rsid w:val="00216B6E"/>
    <w:rsid w:val="00236DC9"/>
    <w:rsid w:val="00417AF7"/>
    <w:rsid w:val="00450123"/>
    <w:rsid w:val="004A27E2"/>
    <w:rsid w:val="005A5E42"/>
    <w:rsid w:val="00712BA3"/>
    <w:rsid w:val="007A1B01"/>
    <w:rsid w:val="00846443"/>
    <w:rsid w:val="008559FD"/>
    <w:rsid w:val="008A0298"/>
    <w:rsid w:val="009B43C8"/>
    <w:rsid w:val="009E3A3C"/>
    <w:rsid w:val="00A152B3"/>
    <w:rsid w:val="00A374E5"/>
    <w:rsid w:val="00AC5983"/>
    <w:rsid w:val="00B36AC2"/>
    <w:rsid w:val="00C11960"/>
    <w:rsid w:val="00C84E4C"/>
    <w:rsid w:val="00CB0752"/>
    <w:rsid w:val="00D20759"/>
    <w:rsid w:val="00DD71D9"/>
    <w:rsid w:val="00DF1205"/>
    <w:rsid w:val="00EA2E3E"/>
    <w:rsid w:val="00F22C53"/>
    <w:rsid w:val="00F450A0"/>
    <w:rsid w:val="00F601BB"/>
    <w:rsid w:val="00F80EF3"/>
    <w:rsid w:val="00FE5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18"/>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80EF3"/>
    <w:pPr>
      <w:framePr w:w="7920" w:h="1980" w:hRule="exact" w:hSpace="180" w:wrap="auto" w:hAnchor="page" w:xAlign="center" w:yAlign="bottom"/>
      <w:ind w:left="2880"/>
    </w:pPr>
    <w:rPr>
      <w:rFonts w:eastAsiaTheme="majorEastAsia" w:cstheme="majorBidi"/>
      <w:szCs w:val="24"/>
    </w:rPr>
  </w:style>
  <w:style w:type="paragraph" w:styleId="BalloonText">
    <w:name w:val="Balloon Text"/>
    <w:basedOn w:val="Normal"/>
    <w:link w:val="BalloonTextChar"/>
    <w:uiPriority w:val="99"/>
    <w:semiHidden/>
    <w:unhideWhenUsed/>
    <w:rsid w:val="00236DC9"/>
    <w:rPr>
      <w:rFonts w:ascii="Tahoma" w:hAnsi="Tahoma" w:cs="Tahoma"/>
      <w:sz w:val="16"/>
      <w:szCs w:val="16"/>
    </w:rPr>
  </w:style>
  <w:style w:type="character" w:customStyle="1" w:styleId="BalloonTextChar">
    <w:name w:val="Balloon Text Char"/>
    <w:basedOn w:val="DefaultParagraphFont"/>
    <w:link w:val="BalloonText"/>
    <w:uiPriority w:val="99"/>
    <w:semiHidden/>
    <w:rsid w:val="00236DC9"/>
    <w:rPr>
      <w:rFonts w:ascii="Tahoma" w:hAnsi="Tahoma" w:cs="Tahoma"/>
      <w:sz w:val="16"/>
      <w:szCs w:val="16"/>
    </w:rPr>
  </w:style>
  <w:style w:type="paragraph" w:styleId="Header">
    <w:name w:val="header"/>
    <w:basedOn w:val="Normal"/>
    <w:link w:val="HeaderChar"/>
    <w:uiPriority w:val="99"/>
    <w:unhideWhenUsed/>
    <w:rsid w:val="00AC5983"/>
    <w:pPr>
      <w:tabs>
        <w:tab w:val="center" w:pos="4513"/>
        <w:tab w:val="right" w:pos="9026"/>
      </w:tabs>
    </w:pPr>
  </w:style>
  <w:style w:type="character" w:customStyle="1" w:styleId="HeaderChar">
    <w:name w:val="Header Char"/>
    <w:basedOn w:val="DefaultParagraphFont"/>
    <w:link w:val="Header"/>
    <w:uiPriority w:val="99"/>
    <w:rsid w:val="00AC5983"/>
  </w:style>
  <w:style w:type="character" w:styleId="Hyperlink">
    <w:name w:val="Hyperlink"/>
    <w:rsid w:val="009E3A3C"/>
    <w:rPr>
      <w:color w:val="0000FF"/>
      <w:u w:val="single"/>
    </w:rPr>
  </w:style>
  <w:style w:type="character" w:customStyle="1" w:styleId="CMCarticletextCharChar">
    <w:name w:val="CMC article text Char Char"/>
    <w:link w:val="CMCarticletext"/>
    <w:locked/>
    <w:rsid w:val="009E3A3C"/>
    <w:rPr>
      <w:color w:val="000000"/>
      <w:sz w:val="22"/>
    </w:rPr>
  </w:style>
  <w:style w:type="paragraph" w:customStyle="1" w:styleId="CMCarticletext">
    <w:name w:val="CMC article text"/>
    <w:link w:val="CMCarticletextCharChar"/>
    <w:rsid w:val="009E3A3C"/>
    <w:pPr>
      <w:spacing w:after="220" w:line="300" w:lineRule="auto"/>
      <w:jc w:val="both"/>
    </w:pPr>
    <w:rPr>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18"/>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80EF3"/>
    <w:pPr>
      <w:framePr w:w="7920" w:h="1980" w:hRule="exact" w:hSpace="180" w:wrap="auto" w:hAnchor="page" w:xAlign="center" w:yAlign="bottom"/>
      <w:ind w:left="2880"/>
    </w:pPr>
    <w:rPr>
      <w:rFonts w:eastAsiaTheme="majorEastAsia" w:cstheme="majorBidi"/>
      <w:szCs w:val="24"/>
    </w:rPr>
  </w:style>
  <w:style w:type="paragraph" w:styleId="BalloonText">
    <w:name w:val="Balloon Text"/>
    <w:basedOn w:val="Normal"/>
    <w:link w:val="BalloonTextChar"/>
    <w:uiPriority w:val="99"/>
    <w:semiHidden/>
    <w:unhideWhenUsed/>
    <w:rsid w:val="00236DC9"/>
    <w:rPr>
      <w:rFonts w:ascii="Tahoma" w:hAnsi="Tahoma" w:cs="Tahoma"/>
      <w:sz w:val="16"/>
      <w:szCs w:val="16"/>
    </w:rPr>
  </w:style>
  <w:style w:type="character" w:customStyle="1" w:styleId="BalloonTextChar">
    <w:name w:val="Balloon Text Char"/>
    <w:basedOn w:val="DefaultParagraphFont"/>
    <w:link w:val="BalloonText"/>
    <w:uiPriority w:val="99"/>
    <w:semiHidden/>
    <w:rsid w:val="00236DC9"/>
    <w:rPr>
      <w:rFonts w:ascii="Tahoma" w:hAnsi="Tahoma" w:cs="Tahoma"/>
      <w:sz w:val="16"/>
      <w:szCs w:val="16"/>
    </w:rPr>
  </w:style>
  <w:style w:type="paragraph" w:styleId="Header">
    <w:name w:val="header"/>
    <w:basedOn w:val="Normal"/>
    <w:link w:val="HeaderChar"/>
    <w:uiPriority w:val="99"/>
    <w:unhideWhenUsed/>
    <w:rsid w:val="00AC5983"/>
    <w:pPr>
      <w:tabs>
        <w:tab w:val="center" w:pos="4513"/>
        <w:tab w:val="right" w:pos="9026"/>
      </w:tabs>
    </w:pPr>
  </w:style>
  <w:style w:type="character" w:customStyle="1" w:styleId="HeaderChar">
    <w:name w:val="Header Char"/>
    <w:basedOn w:val="DefaultParagraphFont"/>
    <w:link w:val="Header"/>
    <w:uiPriority w:val="99"/>
    <w:rsid w:val="00AC5983"/>
  </w:style>
  <w:style w:type="character" w:styleId="Hyperlink">
    <w:name w:val="Hyperlink"/>
    <w:rsid w:val="009E3A3C"/>
    <w:rPr>
      <w:color w:val="0000FF"/>
      <w:u w:val="single"/>
    </w:rPr>
  </w:style>
  <w:style w:type="character" w:customStyle="1" w:styleId="CMCarticletextCharChar">
    <w:name w:val="CMC article text Char Char"/>
    <w:link w:val="CMCarticletext"/>
    <w:locked/>
    <w:rsid w:val="009E3A3C"/>
    <w:rPr>
      <w:color w:val="000000"/>
      <w:sz w:val="22"/>
    </w:rPr>
  </w:style>
  <w:style w:type="paragraph" w:customStyle="1" w:styleId="CMCarticletext">
    <w:name w:val="CMC article text"/>
    <w:link w:val="CMCarticletextCharChar"/>
    <w:rsid w:val="009E3A3C"/>
    <w:pPr>
      <w:spacing w:after="220" w:line="300" w:lineRule="auto"/>
      <w:jc w:val="both"/>
    </w:pPr>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egislation.gov.uk/ukpga/2011/25/section/110/enact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Greatorex</dc:creator>
  <cp:lastModifiedBy> </cp:lastModifiedBy>
  <cp:revision>6</cp:revision>
  <cp:lastPrinted>2012-10-30T14:31:00Z</cp:lastPrinted>
  <dcterms:created xsi:type="dcterms:W3CDTF">2012-10-26T15:44:00Z</dcterms:created>
  <dcterms:modified xsi:type="dcterms:W3CDTF">2012-10-30T15:44:00Z</dcterms:modified>
</cp:coreProperties>
</file>